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087b1e7208fd52ad752ee20c53153b63efa21"/>
    <w:p>
      <w:pPr>
        <w:pStyle w:val="Heading1"/>
      </w:pPr>
      <w:r>
        <w:t xml:space="preserve">Обезличивание базы данных АБС для внешнего доступа (Oracle)</w:t>
      </w:r>
    </w:p>
    <w:p>
      <w:pPr>
        <w:pStyle w:val="FirstParagraph"/>
      </w:pPr>
      <w:r>
        <w:t xml:space="preserve">Документ описывает способ предоставления внешней группе доступа к базе данных</w:t>
      </w:r>
      <w:r>
        <w:t xml:space="preserve"> </w:t>
      </w:r>
      <w:r>
        <w:t xml:space="preserve">автоматизированной банковской системы (АБС) для анализа её структуры и построения</w:t>
      </w:r>
      <w:r>
        <w:t xml:space="preserve"> </w:t>
      </w:r>
      <w:r>
        <w:t xml:space="preserve">отчётности без передачи за пределы контура банка персональных данных и сведений,</w:t>
      </w:r>
      <w:r>
        <w:t xml:space="preserve"> </w:t>
      </w:r>
      <w:r>
        <w:t xml:space="preserve">составляющих банковскую тайну. Приведены принцип, порядок выполнения, готовые</w:t>
      </w:r>
      <w:r>
        <w:t xml:space="preserve"> </w:t>
      </w:r>
      <w:r>
        <w:t xml:space="preserve">скрипты и результаты проверки.</w:t>
      </w:r>
    </w:p>
    <w:p>
      <w:pPr>
        <w:pStyle w:val="BodyText"/>
      </w:pPr>
      <w:r>
        <w:t xml:space="preserve">Скрипты:</w:t>
      </w:r>
      <w:r>
        <w:t xml:space="preserve"> </w:t>
      </w:r>
      <w:r>
        <w:rPr>
          <w:rStyle w:val="VerbatimChar"/>
        </w:rPr>
        <w:t xml:space="preserve">RUN_ANON.SQL</w:t>
      </w:r>
      <w:r>
        <w:t xml:space="preserve"> </w:t>
      </w:r>
      <w:r>
        <w:t xml:space="preserve">(построение) и</w:t>
      </w:r>
      <w:r>
        <w:t xml:space="preserve"> </w:t>
      </w:r>
      <w:r>
        <w:rPr>
          <w:rStyle w:val="VerbatimChar"/>
        </w:rPr>
        <w:t xml:space="preserve">VERIFY_ANON.SQL</w:t>
      </w:r>
      <w:r>
        <w:t xml:space="preserve"> </w:t>
      </w:r>
      <w:r>
        <w:t xml:space="preserve">(проверка) — в каталоге</w:t>
      </w:r>
      <w:r>
        <w:t xml:space="preserve"> </w:t>
      </w:r>
      <w:r>
        <w:rPr>
          <w:rStyle w:val="VerbatimChar"/>
        </w:rPr>
        <w:t xml:space="preserve">sql/</w:t>
      </w:r>
      <w:r>
        <w:t xml:space="preserve">. Все приведённые результаты получены на СУБД Oracle и подтверждены на</w:t>
      </w:r>
      <w:r>
        <w:t xml:space="preserve"> </w:t>
      </w:r>
      <w:r>
        <w:t xml:space="preserve">открытом наборе банковских данных (раздел 3.12).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Для анализа структуры АБС и построения отчётности внешней группе требуется доступ к</w:t>
      </w:r>
      <w:r>
        <w:t xml:space="preserve"> </w:t>
      </w:r>
      <w:r>
        <w:t xml:space="preserve">базе данных. База данных содержит персональные данные клиентов и сведения,</w:t>
      </w:r>
      <w:r>
        <w:t xml:space="preserve"> </w:t>
      </w:r>
      <w:r>
        <w:t xml:space="preserve">составляющие банковскую тайну; их недопустимо передавать за пределы контура банка и</w:t>
      </w:r>
      <w:r>
        <w:t xml:space="preserve"> </w:t>
      </w:r>
      <w:r>
        <w:t xml:space="preserve">предоставлять подрядчику.</w:t>
      </w:r>
    </w:p>
    <w:p>
      <w:pPr>
        <w:pStyle w:val="BodyText"/>
      </w:pPr>
      <w:r>
        <w:t xml:space="preserve">Построение полной обезличенной копии базы данных осложнено двумя обстоятельствами:</w:t>
      </w:r>
      <w:r>
        <w:t xml:space="preserve"> </w:t>
      </w:r>
      <w:r>
        <w:t xml:space="preserve">объёмом данных (десятки терабайт) и необходимостью предварительной ручной разметки</w:t>
      </w:r>
      <w:r>
        <w:t xml:space="preserve"> </w:t>
      </w:r>
      <w:r>
        <w:t xml:space="preserve">тысяч таблиц. Кроме того, при ряде распространённых методов обезличивания сохраняются</w:t>
      </w:r>
      <w:r>
        <w:t xml:space="preserve"> </w:t>
      </w:r>
      <w:r>
        <w:t xml:space="preserve">каналы восстановления исходных значений — например, подбор значения замаскированного</w:t>
      </w:r>
      <w:r>
        <w:t xml:space="preserve"> </w:t>
      </w:r>
      <w:r>
        <w:t xml:space="preserve">столбца по числу строк, возвращаемых при фильтрации.</w:t>
      </w:r>
    </w:p>
    <w:p>
      <w:pPr>
        <w:pStyle w:val="BodyText"/>
      </w:pPr>
      <w:r>
        <w:t xml:space="preserve">Требуется способ предоставления доступа к структуре и агрегированным показателям без</w:t>
      </w:r>
      <w:r>
        <w:t xml:space="preserve"> </w:t>
      </w:r>
      <w:r>
        <w:t xml:space="preserve">раскрытия персональных данных, который банк может проконтролировать штатными</w:t>
      </w:r>
      <w:r>
        <w:t xml:space="preserve"> </w:t>
      </w:r>
      <w:r>
        <w:t xml:space="preserve">средствами СУБД.</w:t>
      </w:r>
    </w:p>
    <w:p>
      <w:r>
        <w:pict>
          <v:rect style="width:0;height:1.5pt" o:hralign="center" o:hrstd="t" o:hr="t"/>
        </w:pict>
      </w:r>
    </w:p>
    <w:bookmarkEnd w:id="9"/>
    <w:bookmarkStart w:id="10" w:name="краткое-описание-решения"/>
    <w:p>
      <w:pPr>
        <w:pStyle w:val="Heading2"/>
      </w:pPr>
      <w:r>
        <w:t xml:space="preserve">2. Краткое описание решения</w:t>
      </w:r>
    </w:p>
    <w:p>
      <w:pPr>
        <w:pStyle w:val="FirstParagraph"/>
      </w:pPr>
      <w:r>
        <w:t xml:space="preserve">Поверх схемы АБС (размещённой на копии из резервной копии или на реплике) создаётся</w:t>
      </w:r>
      <w:r>
        <w:t xml:space="preserve"> </w:t>
      </w:r>
      <w:r>
        <w:t xml:space="preserve">схема</w:t>
      </w:r>
      <w:r>
        <w:t xml:space="preserve"> </w:t>
      </w:r>
      <w:r>
        <w:rPr>
          <w:rStyle w:val="VerbatimChar"/>
        </w:rPr>
        <w:t xml:space="preserve">ANON</w:t>
      </w:r>
      <w:r>
        <w:t xml:space="preserve">, состоящая из представлений — по одному на каждую таблицу. Представление</w:t>
      </w:r>
      <w:r>
        <w:t xml:space="preserve"> </w:t>
      </w:r>
      <w:r>
        <w:t xml:space="preserve">возвращает структуру, суммовые и временные значения, а также ключи связи без</w:t>
      </w:r>
      <w:r>
        <w:t xml:space="preserve"> </w:t>
      </w:r>
      <w:r>
        <w:t xml:space="preserve">изменений и маскирует только персональные данные. Копирование данных не производится:</w:t>
      </w:r>
      <w:r>
        <w:t xml:space="preserve"> </w:t>
      </w:r>
      <w:r>
        <w:t xml:space="preserve">маскирование вычисляется при чтении, поэтому объём базы данных не влияет на сроки.</w:t>
      </w:r>
    </w:p>
    <w:p>
      <w:pPr>
        <w:pStyle w:val="BodyText"/>
      </w:pPr>
      <w:r>
        <w:t xml:space="preserve">Создаётся учётная запись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с правом чтения исключительно представлений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; привилегий на схему АБС у неё нет. Это основной контроль, проверяемый одним</w:t>
      </w:r>
      <w:r>
        <w:t xml:space="preserve"> </w:t>
      </w:r>
      <w:r>
        <w:t xml:space="preserve">запросом к словарю прав. Владелец представлений заблокирован для интерактивного</w:t>
      </w:r>
      <w:r>
        <w:t xml:space="preserve"> </w:t>
      </w:r>
      <w:r>
        <w:t xml:space="preserve">входа, поэтому единственная учётная запись, имеющая доступ к исходным данным, — та,</w:t>
      </w:r>
      <w:r>
        <w:t xml:space="preserve"> </w:t>
      </w:r>
      <w:r>
        <w:t xml:space="preserve">вход под которой невозможен. Каждый запрос учётной 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фиксируется</w:t>
      </w:r>
      <w:r>
        <w:t xml:space="preserve"> </w:t>
      </w:r>
      <w:r>
        <w:t xml:space="preserve">штатной подсистемой аудита СУБД.</w:t>
      </w:r>
    </w:p>
    <w:p>
      <w:pPr>
        <w:pStyle w:val="BodyText"/>
      </w:pPr>
      <w:r>
        <w:t xml:space="preserve">Построение выполняется скриптом</w:t>
      </w:r>
      <w:r>
        <w:t xml:space="preserve"> </w:t>
      </w:r>
      <w:r>
        <w:rPr>
          <w:rStyle w:val="VerbatimChar"/>
        </w:rPr>
        <w:t xml:space="preserve">RUN_ANON.SQL</w:t>
      </w:r>
      <w:r>
        <w:t xml:space="preserve">, проверка изоляции — скриптом</w:t>
      </w:r>
      <w:r>
        <w:t xml:space="preserve"> </w:t>
      </w:r>
      <w:r>
        <w:rPr>
          <w:rStyle w:val="VerbatimChar"/>
        </w:rPr>
        <w:t xml:space="preserve">VERIFY_ANON.SQL</w:t>
      </w:r>
      <w:r>
        <w:t xml:space="preserve">. Предусмотрены два варианта исполнения; выбор остаётся за банком.</w:t>
      </w:r>
    </w:p>
    <w:p>
      <w:pPr>
        <w:pStyle w:val="BodyText"/>
      </w:pPr>
      <w:r>
        <w:t xml:space="preserve">Вариант А — построение с участием нашей группы. Банк предоставляет доступ к копии</w:t>
      </w:r>
      <w:r>
        <w:t xml:space="preserve"> </w:t>
      </w:r>
      <w:r>
        <w:t xml:space="preserve">базы данных. Схема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строится нашим скриптом, результат и перечень правил</w:t>
      </w:r>
      <w:r>
        <w:t xml:space="preserve"> </w:t>
      </w:r>
      <w:r>
        <w:t xml:space="preserve">согласуются. После построения расширенные привилегии отзываются: у нашей группы</w:t>
      </w:r>
      <w:r>
        <w:t xml:space="preserve"> </w:t>
      </w:r>
      <w:r>
        <w:t xml:space="preserve">остаётся только право чтения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, доступ к исходной базе данных закрывается.</w:t>
      </w:r>
    </w:p>
    <w:p>
      <w:pPr>
        <w:pStyle w:val="BodyText"/>
      </w:pPr>
      <w:r>
        <w:t xml:space="preserve">Вариант Б — построение силами банка. Скрипт</w:t>
      </w:r>
      <w:r>
        <w:t xml:space="preserve"> </w:t>
      </w:r>
      <w:r>
        <w:rPr>
          <w:rStyle w:val="VerbatimChar"/>
        </w:rPr>
        <w:t xml:space="preserve">RUN_ANON.SQL</w:t>
      </w:r>
      <w:r>
        <w:t xml:space="preserve"> </w:t>
      </w:r>
      <w:r>
        <w:t xml:space="preserve">выполняет администратор</w:t>
      </w:r>
      <w:r>
        <w:t xml:space="preserve"> </w:t>
      </w:r>
      <w:r>
        <w:t xml:space="preserve">базы данных банка; наша группа не получает доступа к исходным данным ни на одном</w:t>
      </w:r>
      <w:r>
        <w:t xml:space="preserve"> </w:t>
      </w:r>
      <w:r>
        <w:t xml:space="preserve">этапе и работает только со схемой</w:t>
      </w:r>
      <w:r>
        <w:t xml:space="preserve"> </w:t>
      </w:r>
      <w:r>
        <w:rPr>
          <w:rStyle w:val="VerbatimChar"/>
        </w:rPr>
        <w:t xml:space="preserve">ANON</w:t>
      </w:r>
      <w:r>
        <w:t xml:space="preserve">. Скрипт открытый и читаемый, обфускации не</w:t>
      </w:r>
      <w:r>
        <w:t xml:space="preserve"> </w:t>
      </w:r>
      <w:r>
        <w:t xml:space="preserve">содержит.</w:t>
      </w:r>
    </w:p>
    <w:p>
      <w:pPr>
        <w:pStyle w:val="BodyText"/>
      </w:pPr>
      <w:r>
        <w:t xml:space="preserve">Результат в обоих вариантах одинаков. Доступ к внешним аналитическим сервисам, если</w:t>
      </w:r>
      <w:r>
        <w:t xml:space="preserve"> </w:t>
      </w:r>
      <w:r>
        <w:t xml:space="preserve">он используется, открывается только после построения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, когда доступа к</w:t>
      </w:r>
      <w:r>
        <w:t xml:space="preserve"> </w:t>
      </w:r>
      <w:r>
        <w:t xml:space="preserve">исходным данным у используемых ролей уже нет.</w:t>
      </w:r>
    </w:p>
    <w:p>
      <w:r>
        <w:pict>
          <v:rect style="width:0;height:1.5pt" o:hralign="center" o:hrstd="t" o:hr="t"/>
        </w:pict>
      </w:r>
    </w:p>
    <w:bookmarkEnd w:id="10"/>
    <w:bookmarkStart w:id="23" w:name="подробности"/>
    <w:p>
      <w:pPr>
        <w:pStyle w:val="Heading2"/>
      </w:pPr>
      <w:r>
        <w:t xml:space="preserve">3. Подробности</w:t>
      </w:r>
    </w:p>
    <w:bookmarkStart w:id="11" w:name="представления-вместо-копии-данных"/>
    <w:p>
      <w:pPr>
        <w:pStyle w:val="Heading3"/>
      </w:pPr>
      <w:r>
        <w:t xml:space="preserve">3.1. Представления вместо копии данных</w:t>
      </w:r>
    </w:p>
    <w:p>
      <w:pPr>
        <w:pStyle w:val="FirstParagraph"/>
      </w:pPr>
      <w:r>
        <w:t xml:space="preserve">Представления не хранят данные, а вычисляют результат при чтении, поэтому оператор</w:t>
      </w:r>
      <w:r>
        <w:t xml:space="preserve"> </w:t>
      </w:r>
      <w:r>
        <w:rPr>
          <w:rStyle w:val="VerbatimChar"/>
        </w:rPr>
        <w:t xml:space="preserve">CREATE VIEW</w:t>
      </w:r>
      <w:r>
        <w:t xml:space="preserve"> </w:t>
      </w:r>
      <w:r>
        <w:t xml:space="preserve">по всем таблицам выполняется за минуты независимо от объёма базы данных.</w:t>
      </w:r>
    </w:p>
    <w:p>
      <w:pPr>
        <w:pStyle w:val="BodyText"/>
      </w:pPr>
      <w:r>
        <w:t xml:space="preserve">Встроенное маскирование СУБД (Data Redaction), как и замена значений в тексте запроса,</w:t>
      </w:r>
      <w:r>
        <w:t xml:space="preserve"> </w:t>
      </w:r>
      <w:r>
        <w:t xml:space="preserve">обходится фильтрацией: запрос вида</w:t>
      </w:r>
      <w:r>
        <w:t xml:space="preserve"> </w:t>
      </w:r>
      <w:r>
        <w:rPr>
          <w:rStyle w:val="VerbatimChar"/>
        </w:rPr>
        <w:t xml:space="preserve">WHERE pin LIKE '301%'</w:t>
      </w:r>
      <w:r>
        <w:t xml:space="preserve"> </w:t>
      </w:r>
      <w:r>
        <w:t xml:space="preserve">по числу возвращаемых строк</w:t>
      </w:r>
      <w:r>
        <w:t xml:space="preserve"> </w:t>
      </w:r>
      <w:r>
        <w:t xml:space="preserve">позволяет определить значение посимвольно, несмотря на то что на экране оно скрыто. У</w:t>
      </w:r>
      <w:r>
        <w:t xml:space="preserve"> </w:t>
      </w:r>
      <w:r>
        <w:t xml:space="preserve">представлений этого недостатка нет: фильтрация возможна только по тому значению,</w:t>
      </w:r>
      <w:r>
        <w:t xml:space="preserve"> </w:t>
      </w:r>
      <w:r>
        <w:t xml:space="preserve">которое представление уже возвращает, то есть по маске.</w:t>
      </w:r>
    </w:p>
    <w:p>
      <w:pPr>
        <w:pStyle w:val="BodyText"/>
      </w:pPr>
      <w:r>
        <w:t xml:space="preserve">Представления рекомендуется размещать не на действующей базе данных, а на развёрнутой</w:t>
      </w:r>
      <w:r>
        <w:t xml:space="preserve"> </w:t>
      </w:r>
      <w:r>
        <w:t xml:space="preserve">из резервной копии или на реплике, чтобы запросы учётной 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не создавали</w:t>
      </w:r>
      <w:r>
        <w:t xml:space="preserve"> </w:t>
      </w:r>
      <w:r>
        <w:t xml:space="preserve">нагрузку на действующую систему.</w:t>
      </w:r>
    </w:p>
    <w:bookmarkEnd w:id="11"/>
    <w:bookmarkStart w:id="12" w:name="права-доступа-и-роли"/>
    <w:p>
      <w:pPr>
        <w:pStyle w:val="Heading3"/>
      </w:pPr>
      <w:r>
        <w:t xml:space="preserve">3.2. Права доступа и роли</w:t>
      </w:r>
    </w:p>
    <w:p>
      <w:pPr>
        <w:pStyle w:val="FirstParagraph"/>
      </w:pPr>
      <w:r>
        <w:t xml:space="preserve">Учётная запись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владеет представлениями;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имеет право только на</w:t>
      </w:r>
      <w:r>
        <w:t xml:space="preserve"> </w:t>
      </w:r>
      <w:r>
        <w:t xml:space="preserve">подключение: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anon   </w:t>
      </w:r>
      <w:r>
        <w:rPr>
          <w:rStyle w:val="KeywordTok"/>
        </w:rPr>
        <w:t xml:space="preserve">IDENTIFIED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пароль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TABLESPACE</w:t>
      </w:r>
      <w:r>
        <w:rPr>
          <w:rStyle w:val="NormalTok"/>
        </w:rPr>
        <w:t xml:space="preserve"> users </w:t>
      </w:r>
      <w:r>
        <w:rPr>
          <w:rStyle w:val="KeywordTok"/>
        </w:rPr>
        <w:t xml:space="preserve">QUOTA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UNLIMITED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users;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reader </w:t>
      </w:r>
      <w:r>
        <w:rPr>
          <w:rStyle w:val="KeywordTok"/>
        </w:rPr>
        <w:t xml:space="preserve">IDENTIFIED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пароль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anon_read;</w:t>
      </w:r>
      <w:r>
        <w:br/>
      </w:r>
      <w:r>
        <w:rPr>
          <w:rStyle w:val="KeywordTok"/>
        </w:rPr>
        <w:t xml:space="preserve">GRANT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SESSION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VIEW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PROCEDURE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anon;</w:t>
      </w:r>
      <w:r>
        <w:br/>
      </w:r>
      <w:r>
        <w:rPr>
          <w:rStyle w:val="KeywordTok"/>
        </w:rPr>
        <w:t xml:space="preserve">GRANT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SESSION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reader;            </w:t>
      </w:r>
      <w:r>
        <w:rPr>
          <w:rStyle w:val="CommentTok"/>
        </w:rPr>
        <w:t xml:space="preserve">-- иные привилегии не предоставляются</w:t>
      </w:r>
    </w:p>
    <w:p>
      <w:pPr>
        <w:pStyle w:val="FirstParagraph"/>
      </w:pPr>
      <w:r>
        <w:t xml:space="preserve">В Oracle 23ai чтение таблицы другой схемы через представление требует привилегии</w:t>
      </w:r>
      <w:r>
        <w:t xml:space="preserve"> </w:t>
      </w:r>
      <w:r>
        <w:rPr>
          <w:rStyle w:val="VerbatimChar"/>
        </w:rPr>
        <w:t xml:space="preserve">READ ... WITH GRANT OPTION</w:t>
      </w:r>
      <w:r>
        <w:t xml:space="preserve">; без неё сторонняя учётная запись получает ошибку</w:t>
      </w:r>
      <w:r>
        <w:t xml:space="preserve"> </w:t>
      </w:r>
      <w:r>
        <w:t xml:space="preserve">ORA-41900. Эту привилегию удерживает заблокированный владелец представлений:</w:t>
      </w:r>
    </w:p>
    <w:p>
      <w:pPr>
        <w:pStyle w:val="SourceCode"/>
      </w:pPr>
      <w:r>
        <w:rPr>
          <w:rStyle w:val="KeywordTok"/>
        </w:rPr>
        <w:t xml:space="preserve">GRANT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READ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схема_АБС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.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таблица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TO</w:t>
      </w:r>
      <w:r>
        <w:rPr>
          <w:rStyle w:val="NormalTok"/>
        </w:rPr>
        <w:t xml:space="preserve"> anon </w:t>
      </w:r>
      <w:r>
        <w:rPr>
          <w:rStyle w:val="KeywordTok"/>
        </w:rPr>
        <w:t xml:space="preserve">WITH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GRANT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OPTION</w:t>
      </w:r>
      <w:r>
        <w:rPr>
          <w:rStyle w:val="NormalTok"/>
        </w:rPr>
        <w:t xml:space="preserve">;</w:t>
      </w:r>
    </w:p>
    <w:bookmarkEnd w:id="12"/>
    <w:bookmarkStart w:id="13" w:name="токенизация"/>
    <w:p>
      <w:pPr>
        <w:pStyle w:val="Heading3"/>
      </w:pPr>
      <w:r>
        <w:t xml:space="preserve">3.3. Токенизация</w:t>
      </w:r>
    </w:p>
    <w:p>
      <w:pPr>
        <w:pStyle w:val="FirstParagraph"/>
      </w:pPr>
      <w:r>
        <w:t xml:space="preserve">Ключ токенизации хранится в таблице, доступной только учётной записи</w:t>
      </w:r>
      <w:r>
        <w:t xml:space="preserve"> </w:t>
      </w:r>
      <w:r>
        <w:rPr>
          <w:rStyle w:val="VerbatimChar"/>
        </w:rPr>
        <w:t xml:space="preserve">ANON</w:t>
      </w:r>
      <w:r>
        <w:t xml:space="preserve">. Функция</w:t>
      </w:r>
      <w:r>
        <w:t xml:space="preserve"> </w:t>
      </w:r>
      <w:r>
        <w:t xml:space="preserve">токенизации исполняется с правами владельца и считывает ключ самостоятельно; учётная</w:t>
      </w:r>
      <w:r>
        <w:t xml:space="preserve"> </w:t>
      </w:r>
      <w:r>
        <w:t xml:space="preserve">запись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не получает на неё привилегию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, поэтому подбор токена</w:t>
      </w:r>
      <w:r>
        <w:t xml:space="preserve"> </w:t>
      </w:r>
      <w:r>
        <w:t xml:space="preserve">невозможен. Токен детерминирован: одному значению соответствует один токен во всех</w:t>
      </w:r>
      <w:r>
        <w:t xml:space="preserve"> </w:t>
      </w:r>
      <w:r>
        <w:t xml:space="preserve">таблицах, поэтому связи по токенизированному ключу (например, по номеру счёта)</w:t>
      </w:r>
      <w:r>
        <w:t xml:space="preserve"> </w:t>
      </w:r>
      <w:r>
        <w:t xml:space="preserve">сохраняются.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REPLACE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anon.tok(p_val </w:t>
      </w:r>
      <w:r>
        <w:rPr>
          <w:rStyle w:val="DataTypeTok"/>
        </w:rPr>
        <w:t xml:space="preserve">VARCHAR2</w:t>
      </w:r>
      <w:r>
        <w:rPr>
          <w:rStyle w:val="NormalTok"/>
        </w:rPr>
        <w:t xml:space="preserve">, p_key </w:t>
      </w:r>
      <w:r>
        <w:rPr>
          <w:rStyle w:val="DataTypeTok"/>
        </w:rPr>
        <w:t xml:space="preserve">VARCHAR2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'ACCT'</w:t>
      </w:r>
      <w:r>
        <w:rPr>
          <w:rStyle w:val="NormalTok"/>
        </w:rPr>
        <w:t xml:space="preserve">)</w:t>
      </w:r>
      <w:r>
        <w:br/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VARCHAR2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br/>
      </w:r>
      <w:r>
        <w:rPr>
          <w:rStyle w:val="NormalTok"/>
        </w:rPr>
        <w:t xml:space="preserve">  v_k </w:t>
      </w:r>
      <w:r>
        <w:rPr>
          <w:rStyle w:val="DataTypeTok"/>
        </w:rPr>
        <w:t xml:space="preserve">RAW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);</w:t>
      </w:r>
      <w:r>
        <w:br/>
      </w:r>
      <w:r>
        <w:rPr>
          <w:rStyle w:val="ControlFlowTok"/>
        </w:rPr>
        <w:t xml:space="preserve">BEGIN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p_val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 </w:t>
      </w:r>
      <w:r>
        <w:rPr>
          <w:rStyle w:val="ControlFlowTok"/>
        </w:rPr>
        <w:t xml:space="preserve">END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v_k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anon.keys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p_key;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RAWTOHEX</w:t>
      </w:r>
      <w:r>
        <w:rPr>
          <w:rStyle w:val="NormalTok"/>
        </w:rPr>
        <w:t xml:space="preserve">(SYS.DBMS_CRYPTO.MAC(UTL_RAW.CAST_TO_RAW(p_val),</w:t>
      </w:r>
      <w:r>
        <w:br/>
      </w:r>
      <w:r>
        <w:rPr>
          <w:rStyle w:val="NormalTok"/>
        </w:rPr>
        <w:t xml:space="preserve">                                      SYS.DBMS_CRYPTO.HMAC_SH256, v_k));</w:t>
      </w:r>
      <w:r>
        <w:br/>
      </w:r>
      <w:r>
        <w:rPr>
          <w:rStyle w:val="ControlFlowTok"/>
        </w:rPr>
        <w:t xml:space="preserve">END</w:t>
      </w:r>
      <w:r>
        <w:rPr>
          <w:rStyle w:val="NormalTok"/>
        </w:rPr>
        <w:t xml:space="preserve">;</w:t>
      </w:r>
      <w:r>
        <w:br/>
      </w:r>
      <w:r>
        <w:rPr>
          <w:rStyle w:val="OperatorTok"/>
        </w:rPr>
        <w:t xml:space="preserve">/</w:t>
      </w:r>
    </w:p>
    <w:bookmarkEnd w:id="13"/>
    <w:bookmarkStart w:id="14" w:name="разметка-столбцов"/>
    <w:p>
      <w:pPr>
        <w:pStyle w:val="Heading3"/>
      </w:pPr>
      <w:r>
        <w:t xml:space="preserve">3.4. Разметка столбцов</w:t>
      </w:r>
    </w:p>
    <w:p>
      <w:pPr>
        <w:pStyle w:val="FirstParagraph"/>
      </w:pPr>
      <w:r>
        <w:t xml:space="preserve">Класс каждого столбца определяется профилировщиком по правилам, не зависящим от</w:t>
      </w:r>
      <w:r>
        <w:t xml:space="preserve"> </w:t>
      </w:r>
      <w:r>
        <w:t xml:space="preserve">назначения таблицы. Правило по умолчанию — закрыть столбец. Помимо имени учитываются:</w:t>
      </w:r>
    </w:p>
    <w:p>
      <w:pPr>
        <w:pStyle w:val="Compact"/>
        <w:numPr>
          <w:ilvl w:val="0"/>
          <w:numId w:val="1001"/>
        </w:numPr>
      </w:pPr>
      <w:r>
        <w:t xml:space="preserve">значения: столбец типа «дата», средний возраст значений которого попадает в</w:t>
      </w:r>
      <w:r>
        <w:t xml:space="preserve"> </w:t>
      </w:r>
      <w:r>
        <w:t xml:space="preserve">интервал, характерный для даты рождения, относится к датам рождения даже при</w:t>
      </w:r>
      <w:r>
        <w:t xml:space="preserve"> </w:t>
      </w:r>
      <w:r>
        <w:t xml:space="preserve">неочевидном имени; длинные числа с контрольной суммой — к номерам ИНН, счёта, карты;</w:t>
      </w:r>
    </w:p>
    <w:p>
      <w:pPr>
        <w:pStyle w:val="Compact"/>
        <w:numPr>
          <w:ilvl w:val="0"/>
          <w:numId w:val="1001"/>
        </w:numPr>
      </w:pPr>
      <w:r>
        <w:t xml:space="preserve">структура: имя столбца, встречающееся в нескольких таблицах, либо уникальный</w:t>
      </w:r>
      <w:r>
        <w:t xml:space="preserve"> </w:t>
      </w:r>
      <w:r>
        <w:t xml:space="preserve">столбец вида</w:t>
      </w:r>
      <w:r>
        <w:t xml:space="preserve"> </w:t>
      </w:r>
      <w:r>
        <w:rPr>
          <w:rStyle w:val="VerbatimChar"/>
        </w:rPr>
        <w:t xml:space="preserve">*_ID</w:t>
      </w:r>
      <w:r>
        <w:t xml:space="preserve"> </w:t>
      </w:r>
      <w:r>
        <w:t xml:space="preserve">рассматривается как ключ связи и сохраняется без изменений; если</w:t>
      </w:r>
      <w:r>
        <w:t xml:space="preserve"> </w:t>
      </w:r>
      <w:r>
        <w:t xml:space="preserve">это номер счёта или карты, он токенизируется одинаково во всех таблицах, что</w:t>
      </w:r>
      <w:r>
        <w:t xml:space="preserve"> </w:t>
      </w:r>
      <w:r>
        <w:t xml:space="preserve">скрывает значение и сохраняет связи.</w:t>
      </w:r>
    </w:p>
    <w:p>
      <w:pPr>
        <w:pStyle w:val="FirstParagraph"/>
      </w:pPr>
      <w:r>
        <w:t xml:space="preserve">Результат — таблица «столбец → класс → статистика», не содержащая фактических</w:t>
      </w:r>
      <w:r>
        <w:t xml:space="preserve"> </w:t>
      </w:r>
      <w:r>
        <w:t xml:space="preserve">значений. Согласованию на стороне банка подлежит этот перечень правил, а не</w:t>
      </w:r>
      <w:r>
        <w:t xml:space="preserve"> </w:t>
      </w:r>
      <w:r>
        <w:t xml:space="preserve">непосредственно тысячи столбцов. Разметка носит итеративный характер: профилировщик</w:t>
      </w:r>
      <w:r>
        <w:t xml:space="preserve"> </w:t>
      </w:r>
      <w:r>
        <w:t xml:space="preserve">формирует предложение, которое проверяется и корректируется на стороне банка; для</w:t>
      </w:r>
      <w:r>
        <w:t xml:space="preserve"> </w:t>
      </w:r>
      <w:r>
        <w:t xml:space="preserve">доступа к закрытому столбцу оформляется заявка с обоснованием, после чего</w:t>
      </w:r>
      <w:r>
        <w:t xml:space="preserve"> </w:t>
      </w:r>
      <w:r>
        <w:t xml:space="preserve">соответствующее представление формируется заново.</w:t>
      </w:r>
    </w:p>
    <w:p>
      <w:pPr>
        <w:pStyle w:val="BodyText"/>
      </w:pPr>
      <w:r>
        <w:t xml:space="preserve">Обезличиванию подлежат: фамилия, имя, отчество; серия и номер паспорта; ИНН, ПИНФЛ и</w:t>
      </w:r>
      <w:r>
        <w:t xml:space="preserve"> </w:t>
      </w:r>
      <w:r>
        <w:t xml:space="preserve">иные идентификаторы физических лиц; номер телефона; адрес; адрес электронной почты;</w:t>
      </w:r>
      <w:r>
        <w:t xml:space="preserve"> </w:t>
      </w:r>
      <w:r>
        <w:t xml:space="preserve">номер счёта и карты; дата рождения (сохраняется только год). Сведения, составляющие</w:t>
      </w:r>
      <w:r>
        <w:t xml:space="preserve"> </w:t>
      </w:r>
      <w:r>
        <w:t xml:space="preserve">банковскую тайну, шире персональных данных: наименования, ИНН и счета юридических лиц</w:t>
      </w:r>
      <w:r>
        <w:t xml:space="preserve"> </w:t>
      </w:r>
      <w:r>
        <w:t xml:space="preserve">обрабатываются по тем же правилам.</w:t>
      </w:r>
    </w:p>
    <w:p>
      <w:pPr>
        <w:pStyle w:val="BodyText"/>
      </w:pPr>
      <w:r>
        <w:t xml:space="preserve">Перечень правил является предварительным. По требованию банка он может быть ужесточён:</w:t>
      </w:r>
      <w:r>
        <w:t xml:space="preserve"> </w:t>
      </w:r>
      <w:r>
        <w:t xml:space="preserve">расширение перечня закрываемых столбцов, замена токенизации полным удалением значений,</w:t>
      </w:r>
      <w:r>
        <w:t xml:space="preserve"> </w:t>
      </w:r>
      <w:r>
        <w:t xml:space="preserve">закрытие дополнительных справочников. Смягчение правил выполняется только по</w:t>
      </w:r>
      <w:r>
        <w:t xml:space="preserve"> </w:t>
      </w:r>
      <w:r>
        <w:t xml:space="preserve">согласованию.</w:t>
      </w:r>
    </w:p>
    <w:p>
      <w:pPr>
        <w:pStyle w:val="BodyText"/>
      </w:pPr>
      <w:r>
        <w:t xml:space="preserve">Преобразование значений по классам:</w:t>
      </w:r>
    </w:p>
    <w:p>
      <w:pPr>
        <w:pStyle w:val="SourceCode"/>
      </w:pPr>
      <w:r>
        <w:rPr>
          <w:rStyle w:val="VerbatimChar"/>
        </w:rPr>
        <w:t xml:space="preserve">KEEP   — без изменений (идентификаторы, суммы, даты, план счетов, валюта, операционный слой)</w:t>
      </w:r>
      <w:r>
        <w:br/>
      </w:r>
      <w:r>
        <w:rPr>
          <w:rStyle w:val="VerbatimChar"/>
        </w:rPr>
        <w:t xml:space="preserve">DOB    — усечение до года</w:t>
      </w:r>
      <w:r>
        <w:br/>
      </w:r>
      <w:r>
        <w:rPr>
          <w:rStyle w:val="VerbatimChar"/>
        </w:rPr>
        <w:t xml:space="preserve">PIN    — замена цифр на 9, букв на X (сохраняются форма и длина)</w:t>
      </w:r>
      <w:r>
        <w:br/>
      </w:r>
      <w:r>
        <w:rPr>
          <w:rStyle w:val="VerbatimChar"/>
        </w:rPr>
        <w:t xml:space="preserve">PHONE  — замена цифр на 9</w:t>
      </w:r>
      <w:r>
        <w:br/>
      </w:r>
      <w:r>
        <w:rPr>
          <w:rStyle w:val="VerbatimChar"/>
        </w:rPr>
        <w:t xml:space="preserve">ACCT   — балансовый счёт и валюта сохраняются, клиентская часть заменяется токеном</w:t>
      </w:r>
      <w:r>
        <w:br/>
      </w:r>
      <w:r>
        <w:rPr>
          <w:rStyle w:val="VerbatimChar"/>
        </w:rPr>
        <w:t xml:space="preserve">NAME   — значение заменяется устойчивым токеном личности</w:t>
      </w:r>
      <w:r>
        <w:br/>
      </w:r>
      <w:r>
        <w:rPr>
          <w:rStyle w:val="VerbatimChar"/>
        </w:rPr>
        <w:t xml:space="preserve">ADDR   — значение не выгружается</w:t>
      </w:r>
      <w:r>
        <w:br/>
      </w:r>
      <w:r>
        <w:rPr>
          <w:rStyle w:val="VerbatimChar"/>
        </w:rPr>
        <w:t xml:space="preserve">TEXT   — значение не выгружается</w:t>
      </w:r>
      <w:r>
        <w:br/>
      </w:r>
      <w:r>
        <w:rPr>
          <w:rStyle w:val="VerbatimChar"/>
        </w:rPr>
        <w:t xml:space="preserve">SCRUB  — из текста удаляются структурные персональные данные (раздел 3.6)</w:t>
      </w:r>
    </w:p>
    <w:bookmarkEnd w:id="14"/>
    <w:bookmarkStart w:id="15" w:name="операционный-слой-системы-абс"/>
    <w:p>
      <w:pPr>
        <w:pStyle w:val="Heading3"/>
      </w:pPr>
      <w:r>
        <w:t xml:space="preserve">3.5. Операционный слой системы АБС</w:t>
      </w:r>
    </w:p>
    <w:p>
      <w:pPr>
        <w:pStyle w:val="FirstParagraph"/>
      </w:pPr>
      <w:r>
        <w:t xml:space="preserve">Для формирования штатной отчётности самой системой АБС на 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её служебные</w:t>
      </w:r>
      <w:r>
        <w:t xml:space="preserve"> </w:t>
      </w:r>
      <w:r>
        <w:t xml:space="preserve">таблицы должны сохраняться полностью: учётные записи и коды операторов, роли и права</w:t>
      </w:r>
      <w:r>
        <w:t xml:space="preserve"> </w:t>
      </w:r>
      <w:r>
        <w:t xml:space="preserve">доступа, планировщик заданий, определения отчётов, параметры конфигурации,</w:t>
      </w:r>
      <w:r>
        <w:t xml:space="preserve"> </w:t>
      </w:r>
      <w:r>
        <w:t xml:space="preserve">производственный календарь. Эти таблицы включаются в отдельный перечень (</w:t>
      </w:r>
      <w:r>
        <w:rPr>
          <w:rStyle w:val="VerbatimChar"/>
        </w:rPr>
        <w:t xml:space="preserve">sys_ok</w:t>
      </w:r>
      <w:r>
        <w:t xml:space="preserve">);</w:t>
      </w:r>
      <w:r>
        <w:t xml:space="preserve"> </w:t>
      </w:r>
      <w:r>
        <w:t xml:space="preserve">обезличиваются только клиентские данные. В противном случае правило «текстовое поле →</w:t>
      </w:r>
      <w:r>
        <w:t xml:space="preserve"> </w:t>
      </w:r>
      <w:r>
        <w:t xml:space="preserve">пустое значение» удалило бы, в частности, тексты определений отчётов, и система не</w:t>
      </w:r>
      <w:r>
        <w:t xml:space="preserve"> </w:t>
      </w:r>
      <w:r>
        <w:t xml:space="preserve">запустилась бы. Для анализа структуры через представления (без запуска приложения)</w:t>
      </w:r>
      <w:r>
        <w:t xml:space="preserve"> </w:t>
      </w:r>
      <w:r>
        <w:t xml:space="preserve">этот перечень не требуется.</w:t>
      </w:r>
    </w:p>
    <w:bookmarkEnd w:id="15"/>
    <w:bookmarkStart w:id="16" w:name="X90bafa68c1ce19691dc652ae049d3a0ef1fe725"/>
    <w:p>
      <w:pPr>
        <w:pStyle w:val="Heading3"/>
      </w:pPr>
      <w:r>
        <w:t xml:space="preserve">3.6. Текстовые поля со встроенными персональными данными</w:t>
      </w:r>
    </w:p>
    <w:p>
      <w:pPr>
        <w:pStyle w:val="FirstParagraph"/>
      </w:pPr>
      <w:r>
        <w:t xml:space="preserve">Персональные данные могут содержаться внутри текстового поля (назначение платежа,</w:t>
      </w:r>
      <w:r>
        <w:t xml:space="preserve"> </w:t>
      </w:r>
      <w:r>
        <w:t xml:space="preserve">примечание), при этом по фрагменту такого текста может выполняться категоризация</w:t>
      </w:r>
      <w:r>
        <w:t xml:space="preserve"> </w:t>
      </w:r>
      <w:r>
        <w:t xml:space="preserve">операции в отчётности. Для текстовых полей предусмотрены три режима:</w:t>
      </w:r>
    </w:p>
    <w:p>
      <w:pPr>
        <w:pStyle w:val="Compact"/>
        <w:numPr>
          <w:ilvl w:val="0"/>
          <w:numId w:val="1002"/>
        </w:numPr>
      </w:pPr>
      <w:r>
        <w:t xml:space="preserve">если категория операции содержится в отдельном поле-коде (код назначения, символ</w:t>
      </w:r>
      <w:r>
        <w:t xml:space="preserve"> </w:t>
      </w:r>
      <w:r>
        <w:t xml:space="preserve">операции), это поле сохраняется, а свободный текст может не выгружаться;</w:t>
      </w:r>
    </w:p>
    <w:p>
      <w:pPr>
        <w:pStyle w:val="Compact"/>
        <w:numPr>
          <w:ilvl w:val="0"/>
          <w:numId w:val="1002"/>
        </w:numPr>
      </w:pPr>
      <w:r>
        <w:t xml:space="preserve">если отчётность использует сам текст, его недопустимо обнулять. Структурные</w:t>
      </w:r>
      <w:r>
        <w:t xml:space="preserve"> </w:t>
      </w:r>
      <w:r>
        <w:t xml:space="preserve">персональные данные (ИНН, телефон, номер счёта, карты, адрес электронной почты)</w:t>
      </w:r>
      <w:r>
        <w:t xml:space="preserve"> </w:t>
      </w:r>
      <w:r>
        <w:t xml:space="preserve">имеют фиксированную форму и удаляются регулярными выражениями (класс</w:t>
      </w:r>
      <w:r>
        <w:t xml:space="preserve"> </w:t>
      </w:r>
      <w:r>
        <w:rPr>
          <w:rStyle w:val="VerbatimChar"/>
        </w:rPr>
        <w:t xml:space="preserve">SCRUB</w:t>
      </w:r>
      <w:r>
        <w:t xml:space="preserve">);</w:t>
      </w:r>
      <w:r>
        <w:t xml:space="preserve"> </w:t>
      </w:r>
      <w:r>
        <w:t xml:space="preserve">классифицирующие слова сохраняются;</w:t>
      </w:r>
    </w:p>
    <w:p>
      <w:pPr>
        <w:pStyle w:val="Compact"/>
        <w:numPr>
          <w:ilvl w:val="0"/>
          <w:numId w:val="1002"/>
        </w:numPr>
      </w:pPr>
      <w:r>
        <w:t xml:space="preserve">имена в произвольном тексте регулярными выражениями не выделяются и требуют</w:t>
      </w:r>
      <w:r>
        <w:t xml:space="preserve"> </w:t>
      </w:r>
      <w:r>
        <w:t xml:space="preserve">распознавания именованных сущностей, то есть применения модели. При отсутствии у</w:t>
      </w:r>
      <w:r>
        <w:t xml:space="preserve"> </w:t>
      </w:r>
      <w:r>
        <w:t xml:space="preserve">банка локальной модели в контуре такие поля по умолчанию закрываются полностью;</w:t>
      </w:r>
      <w:r>
        <w:t xml:space="preserve"> </w:t>
      </w:r>
      <w:r>
        <w:t xml:space="preserve">обработка текста моделью включается при наличии локальной модели, поскольку передача</w:t>
      </w:r>
      <w:r>
        <w:t xml:space="preserve"> </w:t>
      </w:r>
      <w:r>
        <w:t xml:space="preserve">исходного текста во внешний сервис противоречит назначению решения.</w:t>
      </w:r>
    </w:p>
    <w:p>
      <w:pPr>
        <w:pStyle w:val="FirstParagraph"/>
      </w:pPr>
      <w:r>
        <w:t xml:space="preserve">Дополнительно предусмотрен контроль остаточных данных: результат представления</w:t>
      </w:r>
      <w:r>
        <w:t xml:space="preserve"> </w:t>
      </w:r>
      <w:r>
        <w:t xml:space="preserve">проверяется на соответствие формам персональных данных (длинные числа, адреса</w:t>
      </w:r>
      <w:r>
        <w:t xml:space="preserve"> </w:t>
      </w:r>
      <w:r>
        <w:t xml:space="preserve">электронной почты, телефоны), что исключает их незаметную передачу.</w:t>
      </w:r>
    </w:p>
    <w:bookmarkEnd w:id="16"/>
    <w:bookmarkStart w:id="17" w:name="штатная-отчётность-на-схеме-anon"/>
    <w:p>
      <w:pPr>
        <w:pStyle w:val="Heading3"/>
      </w:pPr>
      <w:r>
        <w:t xml:space="preserve">3.7. Штатная отчётность на схеме ANON</w:t>
      </w:r>
    </w:p>
    <w:p>
      <w:pPr>
        <w:pStyle w:val="FirstParagraph"/>
      </w:pPr>
      <w:r>
        <w:t xml:space="preserve">Штатная отчётность системы АБС может формироваться непосредственно на 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:</w:t>
      </w:r>
      <w:r>
        <w:t xml:space="preserve"> </w:t>
      </w:r>
      <w:r>
        <w:t xml:space="preserve">приложение настраивается на обезличенный экземпляр и формирует отчёты в обычном</w:t>
      </w:r>
      <w:r>
        <w:t xml:space="preserve"> </w:t>
      </w:r>
      <w:r>
        <w:t xml:space="preserve">порядке. Результат совпадает с полученным на действующей базе данных, поскольку</w:t>
      </w:r>
      <w:r>
        <w:t xml:space="preserve"> </w:t>
      </w:r>
      <w:r>
        <w:t xml:space="preserve">суммовые и временные значения, а также балансовые счета в представлениях сохраняются</w:t>
      </w:r>
      <w:r>
        <w:t xml:space="preserve"> </w:t>
      </w:r>
      <w:r>
        <w:t xml:space="preserve">без изменений. Сверка оборотов за операционный день подтверждает совпадение (раздел</w:t>
      </w:r>
      <w:r>
        <w:t xml:space="preserve"> </w:t>
      </w:r>
      <w:r>
        <w:t xml:space="preserve">3.12).</w:t>
      </w:r>
    </w:p>
    <w:p>
      <w:pPr>
        <w:pStyle w:val="BodyText"/>
      </w:pPr>
      <w:r>
        <w:t xml:space="preserve">Состав штатных отчётов, получаемых на 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, определяется банком. К</w:t>
      </w:r>
      <w:r>
        <w:t xml:space="preserve"> </w:t>
      </w:r>
      <w:r>
        <w:t xml:space="preserve">общеизвестным формам относятся оборотно-сальдовая ведомость, кассовые отчёты, остатки</w:t>
      </w:r>
      <w:r>
        <w:t xml:space="preserve"> </w:t>
      </w:r>
      <w:r>
        <w:t xml:space="preserve">и обороты по счетам, отчётность по кредитам и депозитам. Полный перечень отчётов на</w:t>
      </w:r>
      <w:r>
        <w:t xml:space="preserve"> </w:t>
      </w:r>
      <w:r>
        <w:t xml:space="preserve">нашей стороне неизвестен; иные формы, используемые банком, также поддерживаются, их</w:t>
      </w:r>
      <w:r>
        <w:t xml:space="preserve"> </w:t>
      </w:r>
      <w:r>
        <w:t xml:space="preserve">состав уточняется при согласовании.</w:t>
      </w:r>
    </w:p>
    <w:p>
      <w:pPr>
        <w:pStyle w:val="BodyText"/>
      </w:pPr>
      <w:r>
        <w:t xml:space="preserve">Для работы штатного отчёта самой системы АБС копирование данных не требуется —</w:t>
      </w:r>
      <w:r>
        <w:t xml:space="preserve"> </w:t>
      </w:r>
      <w:r>
        <w:t xml:space="preserve">необходимо лишь, чтобы имя таблицы, к которой обращается отчёт, разрешалось в</w:t>
      </w:r>
      <w:r>
        <w:t xml:space="preserve"> </w:t>
      </w:r>
      <w:r>
        <w:t xml:space="preserve">соответствующее представление. Поэтому представления именуются так же, как таблицы (в</w:t>
      </w:r>
      <w:r>
        <w:t xml:space="preserve"> </w:t>
      </w:r>
      <w:r>
        <w:t xml:space="preserve">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таблиц нет, конфликт имён отсутствует). Возможны два случая:</w:t>
      </w:r>
    </w:p>
    <w:p>
      <w:pPr>
        <w:pStyle w:val="Compact"/>
        <w:numPr>
          <w:ilvl w:val="0"/>
          <w:numId w:val="1003"/>
        </w:numPr>
      </w:pPr>
      <w:r>
        <w:t xml:space="preserve">отчёт обращается к таблицам без указания схемы: достаточно установить</w:t>
      </w:r>
      <w:r>
        <w:t xml:space="preserve"> </w:t>
      </w:r>
      <w:r>
        <w:rPr>
          <w:rStyle w:val="VerbatimChar"/>
        </w:rPr>
        <w:t xml:space="preserve">CURRENT_SCHEMA = ANON</w:t>
      </w:r>
      <w:r>
        <w:t xml:space="preserve">, и неквалифицированные имена разрешаются в представления;</w:t>
      </w:r>
    </w:p>
    <w:p>
      <w:pPr>
        <w:pStyle w:val="Compact"/>
        <w:numPr>
          <w:ilvl w:val="0"/>
          <w:numId w:val="1003"/>
        </w:numPr>
      </w:pPr>
      <w:r>
        <w:t xml:space="preserve">отчёт обращается к таблицам с указанием схемы: на копии из резервной копии таблица</w:t>
      </w:r>
      <w:r>
        <w:t xml:space="preserve"> </w:t>
      </w:r>
      <w:r>
        <w:t xml:space="preserve">переименовывается, а под её прежним именем в той же схеме создаётся маскирующее</w:t>
      </w:r>
      <w:r>
        <w:t xml:space="preserve"> </w:t>
      </w:r>
      <w:r>
        <w:t xml:space="preserve">представление. Квалифицированное имя разрешается в представление; исходные данные</w:t>
      </w:r>
      <w:r>
        <w:t xml:space="preserve"> </w:t>
      </w:r>
      <w:r>
        <w:t xml:space="preserve">остаются в переименованной таблице, доступ к которой не предоставляется.</w:t>
      </w:r>
    </w:p>
    <w:bookmarkEnd w:id="17"/>
    <w:bookmarkStart w:id="18" w:name="исходный-код-пакетов"/>
    <w:p>
      <w:pPr>
        <w:pStyle w:val="Heading3"/>
      </w:pPr>
      <w:r>
        <w:t xml:space="preserve">3.8. Исходный код пакетов</w:t>
      </w:r>
    </w:p>
    <w:p>
      <w:pPr>
        <w:pStyle w:val="FirstParagraph"/>
      </w:pPr>
      <w:r>
        <w:t xml:space="preserve">Тексты пакетов и процедур являются метаданными и для анализа структуры представляют</w:t>
      </w:r>
      <w:r>
        <w:t xml:space="preserve"> </w:t>
      </w:r>
      <w:r>
        <w:t xml:space="preserve">наибольшую ценность, поскольку в АБС значительная часть логики реализована на PL/SQL.</w:t>
      </w:r>
      <w:r>
        <w:t xml:space="preserve"> </w:t>
      </w:r>
      <w:r>
        <w:t xml:space="preserve">Если пакеты не защищены обфускацией (</w:t>
      </w:r>
      <w:r>
        <w:rPr>
          <w:rStyle w:val="VerbatimChar"/>
        </w:rPr>
        <w:t xml:space="preserve">wrap</w:t>
      </w:r>
      <w:r>
        <w:t xml:space="preserve">), их тексты доступны в словаре данных</w:t>
      </w:r>
      <w:r>
        <w:t xml:space="preserve"> </w:t>
      </w:r>
      <w:r>
        <w:t xml:space="preserve">(</w:t>
      </w:r>
      <w:r>
        <w:rPr>
          <w:rStyle w:val="VerbatimChar"/>
        </w:rPr>
        <w:t xml:space="preserve">DBA_SOURCE</w:t>
      </w:r>
      <w:r>
        <w:t xml:space="preserve">) и могут быть выгружены полностью. Защищённые обфускацией пакеты</w:t>
      </w:r>
      <w:r>
        <w:t xml:space="preserve"> </w:t>
      </w:r>
      <w:r>
        <w:t xml:space="preserve">текстом не выгружаются. Условия лицензии поставщика АБС в части декомпиляции и</w:t>
      </w:r>
      <w:r>
        <w:t xml:space="preserve"> </w:t>
      </w:r>
      <w:r>
        <w:t xml:space="preserve">передачи третьим лицам подлежат предварительной проверке.</w:t>
      </w:r>
    </w:p>
    <w:bookmarkEnd w:id="18"/>
    <w:bookmarkStart w:id="19" w:name="контроль-изоляции-доступа"/>
    <w:p>
      <w:pPr>
        <w:pStyle w:val="Heading3"/>
      </w:pPr>
      <w:r>
        <w:t xml:space="preserve">3.9. Контроль изоляции доступа</w:t>
      </w:r>
    </w:p>
    <w:p>
      <w:pPr>
        <w:pStyle w:val="FirstParagraph"/>
      </w:pPr>
      <w:r>
        <w:t xml:space="preserve">Скрипт</w:t>
      </w:r>
      <w:r>
        <w:t xml:space="preserve"> </w:t>
      </w:r>
      <w:r>
        <w:rPr>
          <w:rStyle w:val="VerbatimChar"/>
        </w:rPr>
        <w:t xml:space="preserve">VERIFY_ANON.SQL</w:t>
      </w:r>
      <w:r>
        <w:t xml:space="preserve"> </w:t>
      </w:r>
      <w:r>
        <w:t xml:space="preserve">выполняется от имени учётной 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и проверяет</w:t>
      </w:r>
      <w:r>
        <w:t xml:space="preserve"> </w:t>
      </w:r>
      <w:r>
        <w:t xml:space="preserve">отсутствие доступа к исходным данным по ряду направлений. На проверочном стенде все</w:t>
      </w:r>
      <w:r>
        <w:t xml:space="preserve"> </w:t>
      </w:r>
      <w:r>
        <w:t xml:space="preserve">проверки пройдены:</w:t>
      </w:r>
    </w:p>
    <w:p>
      <w:pPr>
        <w:pStyle w:val="Compact"/>
        <w:numPr>
          <w:ilvl w:val="0"/>
          <w:numId w:val="1004"/>
        </w:numPr>
      </w:pPr>
      <w:r>
        <w:t xml:space="preserve">прямое чтение таблиц схемы АБС — недоступно;</w:t>
      </w:r>
    </w:p>
    <w:p>
      <w:pPr>
        <w:pStyle w:val="Compact"/>
        <w:numPr>
          <w:ilvl w:val="0"/>
          <w:numId w:val="1004"/>
        </w:numPr>
      </w:pPr>
      <w:r>
        <w:t xml:space="preserve">ключ токенизации — недоступен;</w:t>
      </w:r>
    </w:p>
    <w:p>
      <w:pPr>
        <w:pStyle w:val="Compact"/>
        <w:numPr>
          <w:ilvl w:val="0"/>
          <w:numId w:val="1004"/>
        </w:numPr>
      </w:pPr>
      <w:r>
        <w:t xml:space="preserve">вызов функции токенизации (подбор) — недоступен;</w:t>
      </w:r>
    </w:p>
    <w:p>
      <w:pPr>
        <w:pStyle w:val="Compact"/>
        <w:numPr>
          <w:ilvl w:val="0"/>
          <w:numId w:val="1004"/>
        </w:numPr>
      </w:pPr>
      <w:r>
        <w:t xml:space="preserve">гистограммы и статистика столбцов схемы АБС (содержат граничные значения) — недоступны;</w:t>
      </w:r>
    </w:p>
    <w:p>
      <w:pPr>
        <w:pStyle w:val="Compact"/>
        <w:numPr>
          <w:ilvl w:val="0"/>
          <w:numId w:val="1004"/>
        </w:numPr>
      </w:pPr>
      <w:r>
        <w:t xml:space="preserve">исходный код схемы АБС — недоступен;</w:t>
      </w:r>
    </w:p>
    <w:p>
      <w:pPr>
        <w:pStyle w:val="Compact"/>
        <w:numPr>
          <w:ilvl w:val="0"/>
          <w:numId w:val="1004"/>
        </w:numPr>
      </w:pPr>
      <w:r>
        <w:t xml:space="preserve">исходящее сетевое соединение из СУБД (</w:t>
      </w:r>
      <w:r>
        <w:rPr>
          <w:rStyle w:val="VerbatimChar"/>
        </w:rPr>
        <w:t xml:space="preserve">UTL_HTTP</w:t>
      </w:r>
      <w:r>
        <w:t xml:space="preserve">) — недоступно;</w:t>
      </w:r>
    </w:p>
    <w:p>
      <w:pPr>
        <w:pStyle w:val="Compact"/>
        <w:numPr>
          <w:ilvl w:val="0"/>
          <w:numId w:val="1004"/>
        </w:numPr>
      </w:pPr>
      <w:r>
        <w:t xml:space="preserve">создание копии исходных данных и ретроспективный доступ (flashback) — запрещены.</w:t>
      </w:r>
    </w:p>
    <w:p>
      <w:pPr>
        <w:pStyle w:val="FirstParagraph"/>
      </w:pPr>
      <w:r>
        <w:t xml:space="preserve">Привилегии учётной 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 </w:t>
      </w:r>
      <w:r>
        <w:t xml:space="preserve">после построения:</w:t>
      </w:r>
      <w:r>
        <w:t xml:space="preserve"> </w:t>
      </w:r>
      <w:r>
        <w:rPr>
          <w:rStyle w:val="VerbatimChar"/>
        </w:rPr>
        <w:t xml:space="preserve">CREATE SESSION</w:t>
      </w:r>
      <w:r>
        <w:t xml:space="preserve"> </w:t>
      </w:r>
      <w:r>
        <w:t xml:space="preserve">и роль</w:t>
      </w:r>
      <w:r>
        <w:t xml:space="preserve"> </w:t>
      </w:r>
      <w:r>
        <w:rPr>
          <w:rStyle w:val="VerbatimChar"/>
        </w:rPr>
        <w:t xml:space="preserve">ANON_READ</w:t>
      </w:r>
      <w:r>
        <w:t xml:space="preserve"> </w:t>
      </w:r>
      <w:r>
        <w:t xml:space="preserve">(право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 представления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).</w:t>
      </w:r>
    </w:p>
    <w:bookmarkEnd w:id="19"/>
    <w:bookmarkStart w:id="20" w:name="версия-субд-oracle"/>
    <w:p>
      <w:pPr>
        <w:pStyle w:val="Heading3"/>
      </w:pPr>
      <w:r>
        <w:t xml:space="preserve">3.10. Версия СУБД Oracle</w:t>
      </w:r>
    </w:p>
    <w:p>
      <w:pPr>
        <w:pStyle w:val="FirstParagraph"/>
      </w:pPr>
      <w:r>
        <w:t xml:space="preserve">Решение подготовлено и проверено на Oracle Database 23ai Free, выпуск 23.26.3.0.0. Для</w:t>
      </w:r>
      <w:r>
        <w:t xml:space="preserve"> </w:t>
      </w:r>
      <w:r>
        <w:t xml:space="preserve">иной версии (в частности, Oracle 19c или 23ai Enterprise) требуется подтверждение на</w:t>
      </w:r>
      <w:r>
        <w:t xml:space="preserve"> </w:t>
      </w:r>
      <w:r>
        <w:t xml:space="preserve">стороне банка; достаточно сообщить версию (</w:t>
      </w:r>
      <w:r>
        <w:rPr>
          <w:rStyle w:val="VerbatimChar"/>
        </w:rPr>
        <w:t xml:space="preserve">SELECT banner_full FROM v$version</w:t>
      </w:r>
      <w:r>
        <w:t xml:space="preserve">).</w:t>
      </w:r>
    </w:p>
    <w:p>
      <w:pPr>
        <w:pStyle w:val="BodyText"/>
      </w:pPr>
      <w:r>
        <w:t xml:space="preserve">Версионно-зависимым является один элемент: привилегия</w:t>
      </w:r>
      <w:r>
        <w:t xml:space="preserve"> </w:t>
      </w:r>
      <w:r>
        <w:rPr>
          <w:rStyle w:val="VerbatimChar"/>
        </w:rPr>
        <w:t xml:space="preserve">READ ... WITH GRANT OPTION</w:t>
      </w:r>
      <w:r>
        <w:t xml:space="preserve"> </w:t>
      </w:r>
      <w:r>
        <w:t xml:space="preserve">и</w:t>
      </w:r>
      <w:r>
        <w:t xml:space="preserve"> </w:t>
      </w:r>
      <w:r>
        <w:t xml:space="preserve">ошибка ORA-41900 относятся к Oracle 23ai. В Oracle 19c тот же результат достигается</w:t>
      </w:r>
      <w:r>
        <w:t xml:space="preserve"> </w:t>
      </w:r>
      <w:r>
        <w:t xml:space="preserve">привилегией</w:t>
      </w:r>
      <w:r>
        <w:t xml:space="preserve"> </w:t>
      </w:r>
      <w:r>
        <w:rPr>
          <w:rStyle w:val="VerbatimChar"/>
        </w:rPr>
        <w:t xml:space="preserve">GRANT SELECT</w:t>
      </w:r>
      <w:r>
        <w:t xml:space="preserve"> </w:t>
      </w:r>
      <w:r>
        <w:t xml:space="preserve">на базовые таблицы (без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WITH GRANT OPTION</w:t>
      </w:r>
      <w:r>
        <w:t xml:space="preserve">).</w:t>
      </w:r>
      <w:r>
        <w:t xml:space="preserve"> </w:t>
      </w:r>
      <w:r>
        <w:t xml:space="preserve">Остальные элементы — представления с правами владельца,</w:t>
      </w:r>
      <w:r>
        <w:t xml:space="preserve"> </w:t>
      </w:r>
      <w:r>
        <w:rPr>
          <w:rStyle w:val="VerbatimChar"/>
        </w:rPr>
        <w:t xml:space="preserve">DBMS_CRYPTO.MAC</w:t>
      </w:r>
      <w:r>
        <w:t xml:space="preserve"> </w:t>
      </w:r>
      <w:r>
        <w:t xml:space="preserve">для</w:t>
      </w:r>
      <w:r>
        <w:t xml:space="preserve"> </w:t>
      </w:r>
      <w:r>
        <w:t xml:space="preserve">токенизации, Unified Auditing, блокировка владельца — применяются одинаково в 19c и 23ai.</w:t>
      </w:r>
    </w:p>
    <w:bookmarkEnd w:id="20"/>
    <w:bookmarkStart w:id="21" w:name="требования-к-инфраструктуре"/>
    <w:p>
      <w:pPr>
        <w:pStyle w:val="Heading3"/>
      </w:pPr>
      <w:r>
        <w:t xml:space="preserve">3.11. Требования к инфраструктуре</w:t>
      </w:r>
    </w:p>
    <w:p>
      <w:pPr>
        <w:pStyle w:val="FirstParagraph"/>
      </w:pPr>
      <w:r>
        <w:t xml:space="preserve">Для сессии анализа предоставляется виртуальная машина в контуре банка: Linux, 4 vCPU,</w:t>
      </w:r>
      <w:r>
        <w:t xml:space="preserve"> </w:t>
      </w:r>
      <w:r>
        <w:t xml:space="preserve">16 ГБ оперативной памяти, около 50 ГБ дискового пространства. Указанного объёма памяти</w:t>
      </w:r>
      <w:r>
        <w:t xml:space="preserve"> </w:t>
      </w:r>
      <w:r>
        <w:t xml:space="preserve">достаточно с запасом: база данных (копия с представлениями) размещается на стороне</w:t>
      </w:r>
      <w:r>
        <w:t xml:space="preserve"> </w:t>
      </w:r>
      <w:r>
        <w:t xml:space="preserve">банка, а данная виртуальная машина выполняет только сессию анализа и клиент Oracle.</w:t>
      </w:r>
    </w:p>
    <w:p>
      <w:pPr>
        <w:pStyle w:val="BodyText"/>
      </w:pPr>
      <w:r>
        <w:t xml:space="preserve">Сетевой доступ с этой машины ограничивается базой данных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и, при необходимости,</w:t>
      </w:r>
      <w:r>
        <w:t xml:space="preserve"> </w:t>
      </w:r>
      <w:r>
        <w:t xml:space="preserve">конечной точкой внешнего аналитического сервиса через шлюз банка. Управление доступом</w:t>
      </w:r>
      <w:r>
        <w:t xml:space="preserve"> </w:t>
      </w:r>
      <w:r>
        <w:t xml:space="preserve">к внешней сети остаётся на стороне банка. При использовании внешнего аналитического</w:t>
      </w:r>
      <w:r>
        <w:t xml:space="preserve"> </w:t>
      </w:r>
      <w:r>
        <w:t xml:space="preserve">сервиса рекомендуется применять ключ доступа, оформленный банком, с условием нулевого</w:t>
      </w:r>
      <w:r>
        <w:t xml:space="preserve"> </w:t>
      </w:r>
      <w:r>
        <w:t xml:space="preserve">хранения данных (zero data retention).</w:t>
      </w:r>
    </w:p>
    <w:p>
      <w:pPr>
        <w:pStyle w:val="BodyText"/>
      </w:pPr>
      <w:r>
        <w:t xml:space="preserve">Со стороны банка предоставляются: развёрнутая из резервной копии копия базы данных или</w:t>
      </w:r>
      <w:r>
        <w:t xml:space="preserve"> </w:t>
      </w:r>
      <w:r>
        <w:t xml:space="preserve">реплика; на время построения — привилегии, необходимые для создания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;</w:t>
      </w:r>
      <w:r>
        <w:t xml:space="preserve"> </w:t>
      </w:r>
      <w:r>
        <w:t xml:space="preserve">после построения — только право чтения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; включённая подсистема аудита СУБД</w:t>
      </w:r>
      <w:r>
        <w:t xml:space="preserve"> </w:t>
      </w:r>
      <w:r>
        <w:t xml:space="preserve">для учётной 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.</w:t>
      </w:r>
    </w:p>
    <w:bookmarkEnd w:id="21"/>
    <w:bookmarkStart w:id="22" w:name="проверка-на-открытом-наборе-данных-berka"/>
    <w:p>
      <w:pPr>
        <w:pStyle w:val="Heading3"/>
      </w:pPr>
      <w:r>
        <w:t xml:space="preserve">3.12. Проверка на открытом наборе данных Berka</w:t>
      </w:r>
    </w:p>
    <w:p>
      <w:pPr>
        <w:pStyle w:val="FirstParagraph"/>
      </w:pPr>
      <w:r>
        <w:t xml:space="preserve">Подход проверен на открытом наборе банковских данных Berka (PKDD’99) — данных</w:t>
      </w:r>
      <w:r>
        <w:t xml:space="preserve"> </w:t>
      </w:r>
      <w:r>
        <w:t xml:space="preserve">реального банка. Набор загружен в Oracle, выполнены профилировщик и построение</w:t>
      </w:r>
      <w:r>
        <w:t xml:space="preserve"> </w:t>
      </w:r>
      <w:r>
        <w:t xml:space="preserve">представлений. Результаты (</w:t>
      </w:r>
      <w:r>
        <w:rPr>
          <w:rStyle w:val="VerbatimChar"/>
        </w:rPr>
        <w:t xml:space="preserve">stand_results/berka_results.log</w:t>
      </w:r>
      <w:r>
        <w:t xml:space="preserve">):</w:t>
      </w:r>
    </w:p>
    <w:p>
      <w:pPr>
        <w:pStyle w:val="Compact"/>
        <w:numPr>
          <w:ilvl w:val="0"/>
          <w:numId w:val="1005"/>
        </w:numPr>
      </w:pPr>
      <w:r>
        <w:t xml:space="preserve">персональные данные замаскированы: фамилия, имя, идентификатор физического лица и</w:t>
      </w:r>
      <w:r>
        <w:t xml:space="preserve"> </w:t>
      </w:r>
      <w:r>
        <w:t xml:space="preserve">адрес электронной почты — токеном; телефон — по форме; адрес — не выгружается; дата</w:t>
      </w:r>
      <w:r>
        <w:t xml:space="preserve"> </w:t>
      </w:r>
      <w:r>
        <w:t xml:space="preserve">рождения — до года (определена по значению при неочевидном имени столбца</w:t>
      </w:r>
      <w:r>
        <w:t xml:space="preserve"> </w:t>
      </w:r>
      <w:r>
        <w:rPr>
          <w:rStyle w:val="VerbatimChar"/>
        </w:rPr>
        <w:t xml:space="preserve">FULLDATE</w:t>
      </w:r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идентификаторы (</w:t>
      </w:r>
      <w:r>
        <w:rPr>
          <w:rStyle w:val="VerbatimChar"/>
        </w:rPr>
        <w:t xml:space="preserve">CLIENT_ID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TRANS_ID</w:t>
      </w:r>
      <w:r>
        <w:t xml:space="preserve">) сохранены без изменений, номер счёта</w:t>
      </w:r>
      <w:r>
        <w:t xml:space="preserve"> </w:t>
      </w:r>
      <w:r>
        <w:t xml:space="preserve">заменён одинаковым токеном во всех таблицах; соединение таблиц по номеру счёта</w:t>
      </w:r>
      <w:r>
        <w:t xml:space="preserve"> </w:t>
      </w:r>
      <w:r>
        <w:t xml:space="preserve">возвращает одинаковое число строк на исходной схеме и на 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— связи</w:t>
      </w:r>
      <w:r>
        <w:t xml:space="preserve"> </w:t>
      </w:r>
      <w:r>
        <w:t xml:space="preserve">сохранены;</w:t>
      </w:r>
    </w:p>
    <w:p>
      <w:pPr>
        <w:pStyle w:val="Compact"/>
        <w:numPr>
          <w:ilvl w:val="0"/>
          <w:numId w:val="1005"/>
        </w:numPr>
      </w:pPr>
      <w:r>
        <w:t xml:space="preserve">оборот по 1 056 320 операциям (сумма по дебету и кредиту) на схеме</w:t>
      </w:r>
      <w:r>
        <w:t xml:space="preserve"> </w:t>
      </w:r>
      <w:r>
        <w:rPr>
          <w:rStyle w:val="VerbatimChar"/>
        </w:rPr>
        <w:t xml:space="preserve">ANON</w:t>
      </w:r>
      <w:r>
        <w:t xml:space="preserve"> </w:t>
      </w:r>
      <w:r>
        <w:t xml:space="preserve">совпал с</w:t>
      </w:r>
      <w:r>
        <w:t xml:space="preserve"> </w:t>
      </w:r>
      <w:r>
        <w:t xml:space="preserve">результатом на исходной схеме с точностью до копейки;</w:t>
      </w:r>
    </w:p>
    <w:p>
      <w:pPr>
        <w:pStyle w:val="Compact"/>
        <w:numPr>
          <w:ilvl w:val="0"/>
          <w:numId w:val="1005"/>
        </w:numPr>
      </w:pPr>
      <w:r>
        <w:t xml:space="preserve">удаление структурных данных из текста: из строки «Оплата пенсия, Иванов, ИНН …,</w:t>
      </w:r>
      <w:r>
        <w:t xml:space="preserve"> </w:t>
      </w:r>
      <w:r>
        <w:t xml:space="preserve">тел …, счёт …» удалены все числовые персональные данные с сохранением слов «Оплата</w:t>
      </w:r>
      <w:r>
        <w:t xml:space="preserve"> </w:t>
      </w:r>
      <w:r>
        <w:t xml:space="preserve">пенсия»; имя в произвольном тексте сохраняется, что соответствует ограничению,</w:t>
      </w:r>
      <w:r>
        <w:t xml:space="preserve"> </w:t>
      </w:r>
      <w:r>
        <w:t xml:space="preserve">описанному в разделе 3.6.</w:t>
      </w:r>
    </w:p>
    <w:p>
      <w:pPr>
        <w:pStyle w:val="FirstParagraph"/>
      </w:pPr>
      <w:r>
        <w:t xml:space="preserve">Проверка на реальных данных подтвердила необходимость этапа согласования разметки:</w:t>
      </w:r>
      <w:r>
        <w:t xml:space="preserve"> </w:t>
      </w:r>
      <w:r>
        <w:t xml:space="preserve">правила, основанные только на имени столбца, не отнесли бы к персональным данным дату</w:t>
      </w:r>
      <w:r>
        <w:t xml:space="preserve"> </w:t>
      </w:r>
      <w:r>
        <w:t xml:space="preserve">рождения в столбце</w:t>
      </w:r>
      <w:r>
        <w:t xml:space="preserve"> </w:t>
      </w:r>
      <w:r>
        <w:rPr>
          <w:rStyle w:val="VerbatimChar"/>
        </w:rPr>
        <w:t xml:space="preserve">FULLDATE</w:t>
      </w:r>
      <w:r>
        <w:t xml:space="preserve"> </w:t>
      </w:r>
      <w:r>
        <w:t xml:space="preserve">и отнесли бы к ним строковые идентификаторы (что нарушило</w:t>
      </w:r>
      <w:r>
        <w:t xml:space="preserve"> </w:t>
      </w:r>
      <w:r>
        <w:t xml:space="preserve">бы связи); оба случая устранены правилами по значению и по структуре.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4" w:name="приложения"/>
    <w:p>
      <w:pPr>
        <w:pStyle w:val="Heading2"/>
      </w:pPr>
      <w:r>
        <w:t xml:space="preserve">Приложения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sql/RUN_ANON.SQL</w:t>
      </w:r>
      <w:r>
        <w:t xml:space="preserve"> </w:t>
      </w:r>
      <w:r>
        <w:t xml:space="preserve">— построение схемы</w:t>
      </w:r>
      <w:r>
        <w:t xml:space="preserve"> </w:t>
      </w:r>
      <w:r>
        <w:rPr>
          <w:rStyle w:val="VerbatimChar"/>
        </w:rPr>
        <w:t xml:space="preserve">ANON</w:t>
      </w:r>
      <w:r>
        <w:t xml:space="preserve">. В начале файла задаётся имя схемы АБС;</w:t>
      </w:r>
      <w:r>
        <w:t xml:space="preserve"> </w:t>
      </w:r>
      <w:r>
        <w:t xml:space="preserve">перечни</w:t>
      </w:r>
      <w:r>
        <w:t xml:space="preserve"> </w:t>
      </w:r>
      <w:r>
        <w:rPr>
          <w:rStyle w:val="VerbatimChar"/>
        </w:rPr>
        <w:t xml:space="preserve">dict_ok</w:t>
      </w:r>
      <w:r>
        <w:t xml:space="preserve">,</w:t>
      </w:r>
      <w:r>
        <w:t xml:space="preserve"> </w:t>
      </w:r>
      <w:r>
        <w:rPr>
          <w:rStyle w:val="VerbatimChar"/>
        </w:rPr>
        <w:t xml:space="preserve">sys_ok</w:t>
      </w:r>
      <w:r>
        <w:t xml:space="preserve">,</w:t>
      </w:r>
      <w:r>
        <w:t xml:space="preserve"> </w:t>
      </w:r>
      <w:r>
        <w:rPr>
          <w:rStyle w:val="VerbatimChar"/>
        </w:rPr>
        <w:t xml:space="preserve">scrub_ok</w:t>
      </w:r>
      <w:r>
        <w:t xml:space="preserve"> </w:t>
      </w:r>
      <w:r>
        <w:t xml:space="preserve">заполняются по результатам согласования.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sql/VERIFY_ANON.SQL</w:t>
      </w:r>
      <w:r>
        <w:t xml:space="preserve"> </w:t>
      </w:r>
      <w:r>
        <w:t xml:space="preserve">— проверка изоляции доступа; выполняется от имени учётной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READER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stand_results/</w:t>
      </w:r>
      <w:r>
        <w:t xml:space="preserve"> </w:t>
      </w:r>
      <w:r>
        <w:t xml:space="preserve">— протоколы выполнения на проверочном стенде и на наборе Berka.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2026-10-02T11:59:59Z</dcterms:created>
  <dcterms:modified xsi:type="dcterms:W3CDTF">2026-10-02T11:59:59Z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